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32" w:rsidRDefault="00F85632" w:rsidP="00F85632">
      <w:pPr>
        <w:ind w:firstLine="540"/>
        <w:jc w:val="center"/>
        <w:rPr>
          <w:bCs w:val="0"/>
          <w:color w:val="auto"/>
        </w:rPr>
      </w:pPr>
      <w:bookmarkStart w:id="0" w:name="_GoBack"/>
      <w:bookmarkEnd w:id="0"/>
      <w:r>
        <w:rPr>
          <w:bCs w:val="0"/>
          <w:color w:val="auto"/>
        </w:rPr>
        <w:t>Тема 8.</w:t>
      </w:r>
      <w:r w:rsidRPr="006261A2">
        <w:rPr>
          <w:bCs w:val="0"/>
          <w:color w:val="auto"/>
        </w:rPr>
        <w:t xml:space="preserve"> </w:t>
      </w:r>
      <w:r>
        <w:rPr>
          <w:bCs w:val="0"/>
          <w:color w:val="auto"/>
        </w:rPr>
        <w:t>Индексы</w:t>
      </w:r>
    </w:p>
    <w:p w:rsidR="00F85632" w:rsidRDefault="00F85632" w:rsidP="00F85632">
      <w:pPr>
        <w:ind w:firstLine="540"/>
        <w:jc w:val="center"/>
        <w:rPr>
          <w:bCs w:val="0"/>
          <w:color w:val="auto"/>
        </w:rPr>
      </w:pPr>
    </w:p>
    <w:p w:rsidR="00F85632" w:rsidRPr="00C21D3E" w:rsidRDefault="00F85632" w:rsidP="00F85632">
      <w:pPr>
        <w:tabs>
          <w:tab w:val="left" w:pos="284"/>
        </w:tabs>
        <w:ind w:firstLine="284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Цель: изучить понятие и виды индексов, используемых в статистике. </w:t>
      </w:r>
    </w:p>
    <w:p w:rsidR="00F85632" w:rsidRPr="006261A2" w:rsidRDefault="00F85632" w:rsidP="00F85632">
      <w:pPr>
        <w:ind w:firstLine="540"/>
        <w:jc w:val="both"/>
        <w:rPr>
          <w:b w:val="0"/>
          <w:bCs w:val="0"/>
          <w:color w:val="auto"/>
        </w:rPr>
      </w:pPr>
    </w:p>
    <w:p w:rsidR="00F85632" w:rsidRDefault="00F85632" w:rsidP="00F85632">
      <w:pPr>
        <w:pStyle w:val="a3"/>
        <w:ind w:left="1065"/>
        <w:jc w:val="both"/>
        <w:rPr>
          <w:b w:val="0"/>
          <w:bCs w:val="0"/>
          <w:color w:val="auto"/>
        </w:rPr>
      </w:pPr>
    </w:p>
    <w:p w:rsidR="00F85632" w:rsidRPr="009F59AB" w:rsidRDefault="00F85632" w:rsidP="00F85632">
      <w:pPr>
        <w:pStyle w:val="a3"/>
        <w:ind w:left="1065"/>
        <w:jc w:val="center"/>
        <w:rPr>
          <w:bCs w:val="0"/>
          <w:color w:val="auto"/>
        </w:rPr>
      </w:pPr>
      <w:r w:rsidRPr="009F59AB">
        <w:rPr>
          <w:bCs w:val="0"/>
          <w:color w:val="auto"/>
        </w:rPr>
        <w:t>1.Индексы и их классификация</w:t>
      </w:r>
    </w:p>
    <w:p w:rsidR="00F85632" w:rsidRPr="009F59AB" w:rsidRDefault="00F85632" w:rsidP="00F85632">
      <w:pPr>
        <w:pStyle w:val="a3"/>
        <w:ind w:left="1065"/>
        <w:jc w:val="both"/>
        <w:rPr>
          <w:b w:val="0"/>
          <w:bCs w:val="0"/>
          <w:color w:val="auto"/>
        </w:rPr>
      </w:pPr>
    </w:p>
    <w:p w:rsidR="00F85632" w:rsidRDefault="00F85632" w:rsidP="00F85632">
      <w:pPr>
        <w:ind w:firstLine="540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В статистике под </w:t>
      </w:r>
      <w:r w:rsidRPr="006261A2">
        <w:rPr>
          <w:bCs w:val="0"/>
          <w:color w:val="auto"/>
        </w:rPr>
        <w:t xml:space="preserve">индексом </w:t>
      </w:r>
      <w:r w:rsidRPr="006261A2">
        <w:rPr>
          <w:b w:val="0"/>
          <w:bCs w:val="0"/>
          <w:color w:val="auto"/>
        </w:rPr>
        <w:t>понимается относительная величина (показатель)</w:t>
      </w:r>
      <w:proofErr w:type="gramStart"/>
      <w:r w:rsidRPr="006261A2">
        <w:rPr>
          <w:b w:val="0"/>
          <w:bCs w:val="0"/>
          <w:color w:val="auto"/>
        </w:rPr>
        <w:t xml:space="preserve"> ,</w:t>
      </w:r>
      <w:proofErr w:type="gramEnd"/>
      <w:r w:rsidRPr="006261A2">
        <w:rPr>
          <w:b w:val="0"/>
          <w:bCs w:val="0"/>
          <w:color w:val="auto"/>
        </w:rPr>
        <w:t xml:space="preserve"> выражающая изменение сложного экономического явления во времени, в пространстве или по сравнению с планом. В связи с этим различают динамические, территориальные индексы, а также индексы выполнения плана. </w:t>
      </w:r>
    </w:p>
    <w:p w:rsidR="00F85632" w:rsidRPr="00506F68" w:rsidRDefault="00F85632" w:rsidP="00F85632">
      <w:pPr>
        <w:jc w:val="center"/>
        <w:rPr>
          <w:bCs w:val="0"/>
        </w:rPr>
      </w:pPr>
      <w:r w:rsidRPr="00506F68">
        <w:rPr>
          <w:bCs w:val="0"/>
        </w:rPr>
        <w:t>Классификация индексов.</w:t>
      </w:r>
    </w:p>
    <w:p w:rsidR="00F85632" w:rsidRPr="00506F68" w:rsidRDefault="00F85632" w:rsidP="00F85632">
      <w:pPr>
        <w:rPr>
          <w:b w:val="0"/>
        </w:rPr>
      </w:pPr>
      <w:r w:rsidRPr="00506F68">
        <w:rPr>
          <w:b w:val="0"/>
        </w:rPr>
        <w:t>Индексы классифицируются по трем признакам:</w:t>
      </w:r>
    </w:p>
    <w:p w:rsidR="00F85632" w:rsidRPr="00506F68" w:rsidRDefault="00F85632" w:rsidP="00F85632">
      <w:pPr>
        <w:jc w:val="both"/>
        <w:rPr>
          <w:b w:val="0"/>
        </w:rPr>
      </w:pPr>
      <w:r w:rsidRPr="00506F68">
        <w:rPr>
          <w:b w:val="0"/>
        </w:rPr>
        <w:t xml:space="preserve">1) </w:t>
      </w:r>
      <w:r w:rsidRPr="00506F68">
        <w:rPr>
          <w:i/>
        </w:rPr>
        <w:t>по характеру изучаемых объектов</w:t>
      </w:r>
      <w:r>
        <w:rPr>
          <w:b w:val="0"/>
        </w:rPr>
        <w:t xml:space="preserve"> -  </w:t>
      </w:r>
      <w:r w:rsidRPr="00506F68">
        <w:rPr>
          <w:b w:val="0"/>
        </w:rPr>
        <w:t>разделяются на индексы объемных показателей (физического объема продукции, розничного товарооборота, потребления и т.п.) и индексы качественных показателей (цен, себестоимости производства продукции, производительности труда, урожайности и т.п.).</w:t>
      </w:r>
    </w:p>
    <w:p w:rsidR="00F85632" w:rsidRPr="00506F68" w:rsidRDefault="00F85632" w:rsidP="00F85632">
      <w:pPr>
        <w:jc w:val="both"/>
        <w:rPr>
          <w:b w:val="0"/>
        </w:rPr>
      </w:pPr>
      <w:r w:rsidRPr="00506F68">
        <w:rPr>
          <w:b w:val="0"/>
        </w:rPr>
        <w:t xml:space="preserve">2) </w:t>
      </w:r>
      <w:r w:rsidRPr="00506F68">
        <w:rPr>
          <w:i/>
        </w:rPr>
        <w:t>по степени охвата элементов, совокупности</w:t>
      </w:r>
      <w:r>
        <w:rPr>
          <w:b w:val="0"/>
        </w:rPr>
        <w:t xml:space="preserve"> - </w:t>
      </w:r>
      <w:r w:rsidRPr="00506F68">
        <w:rPr>
          <w:b w:val="0"/>
        </w:rPr>
        <w:t>делят на индивидуальные (отдельных элементов совокупности), общие (характеризующие изменение совокупности в целом) и групповые (охватывающие часть элементов совокупности).</w:t>
      </w:r>
    </w:p>
    <w:p w:rsidR="00F85632" w:rsidRDefault="00F85632" w:rsidP="00F85632">
      <w:pPr>
        <w:jc w:val="both"/>
        <w:rPr>
          <w:b w:val="0"/>
        </w:rPr>
      </w:pPr>
      <w:r w:rsidRPr="00506F68">
        <w:rPr>
          <w:b w:val="0"/>
        </w:rPr>
        <w:t xml:space="preserve">3) </w:t>
      </w:r>
      <w:r w:rsidRPr="00506F68">
        <w:rPr>
          <w:i/>
        </w:rPr>
        <w:t>по методике расчета общих индексов</w:t>
      </w:r>
      <w:r>
        <w:rPr>
          <w:b w:val="0"/>
        </w:rPr>
        <w:t xml:space="preserve"> - </w:t>
      </w:r>
      <w:r w:rsidRPr="00506F68">
        <w:rPr>
          <w:b w:val="0"/>
        </w:rPr>
        <w:t>общие и групповые индексы разделяются на агрегатные (суммарные) индексы и средние из индивидуальных индексов (полученные в результате преобразования агрегатных индексов).</w:t>
      </w:r>
    </w:p>
    <w:p w:rsidR="00F85632" w:rsidRPr="00506F68" w:rsidRDefault="00F85632" w:rsidP="00F85632">
      <w:pPr>
        <w:jc w:val="center"/>
        <w:rPr>
          <w:b w:val="0"/>
        </w:rPr>
      </w:pPr>
    </w:p>
    <w:p w:rsidR="00F85632" w:rsidRDefault="00F85632" w:rsidP="00F85632">
      <w:pPr>
        <w:jc w:val="center"/>
        <w:rPr>
          <w:b w:val="0"/>
        </w:rPr>
      </w:pPr>
      <w:r>
        <w:rPr>
          <w:noProof/>
        </w:rPr>
        <w:drawing>
          <wp:inline distT="0" distB="0" distL="0" distR="0" wp14:anchorId="58D96C78" wp14:editId="28232B36">
            <wp:extent cx="4097655" cy="2820670"/>
            <wp:effectExtent l="0" t="0" r="0" b="0"/>
            <wp:docPr id="102" name="Рисунок 102" descr="http://www.sapanet.ru/UMM/%7Bc970a46f-c819-4ba4-bfa4-2df363a232c7%7D/img/%D0%A1%D0%A21_7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sapanet.ru/UMM/%7Bc970a46f-c819-4ba4-bfa4-2df363a232c7%7D/img/%D0%A1%D0%A21_7_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655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632" w:rsidRPr="00506F68" w:rsidRDefault="00F85632" w:rsidP="00F85632">
      <w:pPr>
        <w:jc w:val="center"/>
        <w:rPr>
          <w:b w:val="0"/>
        </w:rPr>
      </w:pPr>
      <w:r>
        <w:rPr>
          <w:b w:val="0"/>
        </w:rPr>
        <w:t>Рис. 8.1 Виды индексов</w:t>
      </w:r>
    </w:p>
    <w:p w:rsidR="005B46DD" w:rsidRDefault="005B46DD"/>
    <w:p w:rsidR="00F85632" w:rsidRPr="00F85632" w:rsidRDefault="00F85632" w:rsidP="00F85632">
      <w:pPr>
        <w:shd w:val="clear" w:color="auto" w:fill="FFFFFF"/>
        <w:ind w:left="539"/>
        <w:rPr>
          <w:b w:val="0"/>
          <w:bCs w:val="0"/>
          <w:szCs w:val="18"/>
        </w:rPr>
      </w:pPr>
      <w:r w:rsidRPr="00F85632">
        <w:rPr>
          <w:b w:val="0"/>
          <w:bCs w:val="0"/>
          <w:szCs w:val="18"/>
        </w:rPr>
        <w:t>Для удобства восприятия индексов в теории статистики разработана символика:</w:t>
      </w:r>
    </w:p>
    <w:p w:rsidR="00F85632" w:rsidRPr="00F85632" w:rsidRDefault="00F85632" w:rsidP="00F85632">
      <w:pPr>
        <w:shd w:val="clear" w:color="auto" w:fill="FFFFFF"/>
        <w:ind w:left="539"/>
        <w:rPr>
          <w:b w:val="0"/>
          <w:bCs w:val="0"/>
          <w:szCs w:val="18"/>
        </w:rPr>
      </w:pPr>
      <w:r w:rsidRPr="00F85632">
        <w:rPr>
          <w:b w:val="0"/>
          <w:bCs w:val="0"/>
          <w:szCs w:val="18"/>
        </w:rPr>
        <w:t>- q – количество единиц какого-либо вида продукции;</w:t>
      </w:r>
    </w:p>
    <w:p w:rsidR="00F85632" w:rsidRPr="00F85632" w:rsidRDefault="00F85632" w:rsidP="00F85632">
      <w:pPr>
        <w:shd w:val="clear" w:color="auto" w:fill="FFFFFF"/>
        <w:ind w:left="539"/>
        <w:rPr>
          <w:b w:val="0"/>
          <w:bCs w:val="0"/>
          <w:szCs w:val="18"/>
        </w:rPr>
      </w:pPr>
      <w:r w:rsidRPr="00F85632">
        <w:rPr>
          <w:b w:val="0"/>
          <w:bCs w:val="0"/>
          <w:szCs w:val="18"/>
        </w:rPr>
        <w:t>- p – цена единицы какого-либо вида продукции;</w:t>
      </w:r>
    </w:p>
    <w:p w:rsidR="00F85632" w:rsidRPr="00F85632" w:rsidRDefault="00F85632" w:rsidP="00F85632">
      <w:pPr>
        <w:shd w:val="clear" w:color="auto" w:fill="FFFFFF"/>
        <w:ind w:left="539"/>
        <w:rPr>
          <w:b w:val="0"/>
          <w:bCs w:val="0"/>
          <w:szCs w:val="18"/>
        </w:rPr>
      </w:pPr>
      <w:r w:rsidRPr="00F85632">
        <w:rPr>
          <w:b w:val="0"/>
          <w:bCs w:val="0"/>
          <w:szCs w:val="18"/>
        </w:rPr>
        <w:t>- z – себестоимость единицы какого-либо вида продукции;</w:t>
      </w:r>
    </w:p>
    <w:p w:rsidR="00F85632" w:rsidRPr="00F85632" w:rsidRDefault="00F85632" w:rsidP="00F85632">
      <w:pPr>
        <w:shd w:val="clear" w:color="auto" w:fill="FFFFFF"/>
        <w:ind w:left="539"/>
        <w:rPr>
          <w:b w:val="0"/>
          <w:bCs w:val="0"/>
          <w:szCs w:val="18"/>
        </w:rPr>
      </w:pPr>
      <w:r w:rsidRPr="00F85632">
        <w:rPr>
          <w:b w:val="0"/>
          <w:bCs w:val="0"/>
          <w:szCs w:val="18"/>
        </w:rPr>
        <w:t>- t – трудоемкость единицы какого-либо вида продукции</w:t>
      </w:r>
    </w:p>
    <w:p w:rsidR="00F85632" w:rsidRDefault="00F85632"/>
    <w:p w:rsidR="00F85632" w:rsidRPr="006261A2" w:rsidRDefault="00F85632" w:rsidP="00F85632">
      <w:pPr>
        <w:ind w:firstLine="540"/>
        <w:jc w:val="both"/>
        <w:rPr>
          <w:b w:val="0"/>
          <w:bCs w:val="0"/>
          <w:color w:val="auto"/>
        </w:rPr>
      </w:pPr>
      <w:r w:rsidRPr="006261A2">
        <w:rPr>
          <w:bCs w:val="0"/>
          <w:color w:val="auto"/>
        </w:rPr>
        <w:t>Индивидуальные индекс</w:t>
      </w:r>
      <w:proofErr w:type="gramStart"/>
      <w:r w:rsidRPr="006261A2">
        <w:rPr>
          <w:bCs w:val="0"/>
          <w:color w:val="auto"/>
        </w:rPr>
        <w:t>ы-</w:t>
      </w:r>
      <w:proofErr w:type="gramEnd"/>
      <w:r w:rsidRPr="006261A2">
        <w:rPr>
          <w:bCs w:val="0"/>
          <w:color w:val="auto"/>
        </w:rPr>
        <w:t xml:space="preserve"> </w:t>
      </w:r>
      <w:r w:rsidRPr="006261A2">
        <w:rPr>
          <w:b w:val="0"/>
          <w:bCs w:val="0"/>
          <w:color w:val="auto"/>
        </w:rPr>
        <w:t xml:space="preserve"> Показатели, характеризующие изменение более или менее однородных объектов, входящих в состав сложного явления, называются индивидуальными индексами – i  </w:t>
      </w:r>
    </w:p>
    <w:p w:rsidR="00F85632" w:rsidRPr="006261A2" w:rsidRDefault="00F85632" w:rsidP="00F85632">
      <w:pPr>
        <w:ind w:firstLine="540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Индекс получает название по названию индексируемой величины. </w:t>
      </w:r>
    </w:p>
    <w:p w:rsidR="00F85632" w:rsidRPr="006261A2" w:rsidRDefault="00F85632" w:rsidP="00F85632">
      <w:pPr>
        <w:ind w:firstLine="540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lastRenderedPageBreak/>
        <w:t xml:space="preserve">В большинстве случаев в числителе стоит текущий уровень, а в знаменателе – базисный уровень. </w:t>
      </w:r>
    </w:p>
    <w:p w:rsidR="00F85632" w:rsidRPr="006261A2" w:rsidRDefault="00F85632" w:rsidP="00F85632">
      <w:pPr>
        <w:ind w:firstLine="540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Исключением является индекс покупательной способности тенге. </w:t>
      </w:r>
    </w:p>
    <w:p w:rsidR="00F85632" w:rsidRPr="006261A2" w:rsidRDefault="00F85632" w:rsidP="00F85632">
      <w:pPr>
        <w:ind w:firstLine="540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>Индексы измеряются либо в виде процентов</w:t>
      </w:r>
      <w:proofErr w:type="gramStart"/>
      <w:r w:rsidRPr="006261A2">
        <w:rPr>
          <w:b w:val="0"/>
          <w:bCs w:val="0"/>
          <w:color w:val="auto"/>
        </w:rPr>
        <w:t xml:space="preserve"> (%), </w:t>
      </w:r>
      <w:proofErr w:type="gramEnd"/>
      <w:r w:rsidRPr="006261A2">
        <w:rPr>
          <w:b w:val="0"/>
          <w:bCs w:val="0"/>
          <w:color w:val="auto"/>
        </w:rPr>
        <w:t xml:space="preserve">либо в виде коэффициентов. </w:t>
      </w:r>
    </w:p>
    <w:p w:rsidR="00F85632" w:rsidRPr="006261A2" w:rsidRDefault="00F85632" w:rsidP="00F85632">
      <w:pPr>
        <w:ind w:firstLine="567"/>
        <w:jc w:val="both"/>
        <w:rPr>
          <w:b w:val="0"/>
          <w:bCs w:val="0"/>
          <w:color w:val="auto"/>
        </w:rPr>
      </w:pPr>
      <w:r w:rsidRPr="006261A2">
        <w:rPr>
          <w:bCs w:val="0"/>
          <w:color w:val="auto"/>
        </w:rPr>
        <w:t xml:space="preserve">Сводные индексы - </w:t>
      </w:r>
      <w:r w:rsidRPr="006261A2">
        <w:rPr>
          <w:b w:val="0"/>
          <w:bCs w:val="0"/>
          <w:color w:val="auto"/>
        </w:rPr>
        <w:t xml:space="preserve">Сложные явления, для которых рассчитывается сводный индекс, отличаются той особенностью, что элементы, их составляющие, неоднородны и, как правило, несоизмеримы друг с другом. Поэтому сопоставление простых сумм этих элементов невозможно. Сопоставимость может быть достигнута различными способами: </w:t>
      </w:r>
    </w:p>
    <w:p w:rsidR="00F85632" w:rsidRPr="006261A2" w:rsidRDefault="00F85632" w:rsidP="00F85632">
      <w:pPr>
        <w:numPr>
          <w:ilvl w:val="0"/>
          <w:numId w:val="2"/>
        </w:num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сложные явления могут быть разбиты на такие простые элементы, которые в известной степени являются однородными; </w:t>
      </w:r>
    </w:p>
    <w:p w:rsidR="00F85632" w:rsidRPr="006261A2" w:rsidRDefault="00F85632" w:rsidP="00F85632">
      <w:pPr>
        <w:numPr>
          <w:ilvl w:val="0"/>
          <w:numId w:val="2"/>
        </w:num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сравнение по стоимости, без разбиения на отдельные элементы. </w:t>
      </w:r>
    </w:p>
    <w:p w:rsidR="00F85632" w:rsidRPr="006261A2" w:rsidRDefault="00F85632" w:rsidP="00F85632">
      <w:p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  <w:u w:val="single"/>
        </w:rPr>
        <w:t>Цель теории индексов</w:t>
      </w:r>
      <w:r w:rsidRPr="006261A2">
        <w:rPr>
          <w:b w:val="0"/>
          <w:bCs w:val="0"/>
          <w:color w:val="auto"/>
        </w:rPr>
        <w:t xml:space="preserve"> – изучение способов получения относительных величин, используемых для расчета общего изменения ряда разнородных явлений. </w:t>
      </w:r>
    </w:p>
    <w:p w:rsidR="00F85632" w:rsidRPr="006261A2" w:rsidRDefault="00F85632" w:rsidP="00F85632">
      <w:pPr>
        <w:ind w:firstLine="708"/>
        <w:rPr>
          <w:b w:val="0"/>
          <w:bCs w:val="0"/>
          <w:color w:val="auto"/>
          <w:u w:val="single"/>
        </w:rPr>
      </w:pPr>
      <w:r w:rsidRPr="006261A2">
        <w:rPr>
          <w:b w:val="0"/>
          <w:bCs w:val="0"/>
          <w:color w:val="auto"/>
          <w:u w:val="single"/>
        </w:rPr>
        <w:t xml:space="preserve"> Различают:</w:t>
      </w:r>
    </w:p>
    <w:p w:rsidR="00F85632" w:rsidRPr="006261A2" w:rsidRDefault="00F85632" w:rsidP="00F85632">
      <w:pPr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Индекс стоимости товарооборота </w:t>
      </w:r>
    </w:p>
    <w:p w:rsidR="00F85632" w:rsidRPr="006261A2" w:rsidRDefault="00F85632" w:rsidP="00F85632">
      <w:pPr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Индекс цены товарооборота </w:t>
      </w:r>
    </w:p>
    <w:p w:rsidR="00F85632" w:rsidRPr="006261A2" w:rsidRDefault="00F85632" w:rsidP="00F85632">
      <w:pPr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Индекс физического объема </w:t>
      </w:r>
    </w:p>
    <w:p w:rsidR="00F85632" w:rsidRPr="006261A2" w:rsidRDefault="00F85632" w:rsidP="00F85632">
      <w:pPr>
        <w:ind w:firstLine="567"/>
        <w:jc w:val="both"/>
        <w:rPr>
          <w:bCs w:val="0"/>
          <w:color w:val="auto"/>
        </w:rPr>
      </w:pPr>
      <w:r w:rsidRPr="006261A2">
        <w:rPr>
          <w:bCs w:val="0"/>
          <w:color w:val="auto"/>
        </w:rPr>
        <w:t xml:space="preserve">Проблема выбора весов </w:t>
      </w:r>
    </w:p>
    <w:p w:rsidR="00F85632" w:rsidRPr="006261A2" w:rsidRDefault="00F85632" w:rsidP="00F85632">
      <w:pPr>
        <w:numPr>
          <w:ilvl w:val="0"/>
          <w:numId w:val="3"/>
        </w:num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Если индексируемой величиной является качественный признак, то вес принимается на уровне текущего периода. </w:t>
      </w:r>
    </w:p>
    <w:p w:rsidR="00F85632" w:rsidRPr="006261A2" w:rsidRDefault="00F85632" w:rsidP="00F85632">
      <w:pPr>
        <w:numPr>
          <w:ilvl w:val="0"/>
          <w:numId w:val="3"/>
        </w:num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Если же индексируемой величиной является количественный признак, то вес принимается на уровне базисного периода. </w:t>
      </w:r>
    </w:p>
    <w:p w:rsidR="00F85632" w:rsidRPr="006261A2" w:rsidRDefault="00F85632" w:rsidP="00F85632">
      <w:pPr>
        <w:ind w:firstLine="567"/>
        <w:jc w:val="both"/>
        <w:rPr>
          <w:b w:val="0"/>
          <w:bCs w:val="0"/>
          <w:color w:val="auto"/>
        </w:rPr>
      </w:pPr>
      <w:proofErr w:type="gramStart"/>
      <w:r w:rsidRPr="006261A2">
        <w:rPr>
          <w:b w:val="0"/>
          <w:bCs w:val="0"/>
          <w:color w:val="auto"/>
        </w:rPr>
        <w:t xml:space="preserve">Такой выбор весов позволяет записать следующую связь: сводные индексы в агрегатной форме позволяют нам измерить не только относительное изменение отдельных элементов изучаемого явления и явления в целом в текущем периоде по сравнению с базисным, но и абсолютное изменение. </w:t>
      </w:r>
      <w:proofErr w:type="gramEnd"/>
    </w:p>
    <w:p w:rsidR="00F85632" w:rsidRPr="006261A2" w:rsidRDefault="00F85632" w:rsidP="00F85632">
      <w:pPr>
        <w:ind w:firstLine="567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Например, если мы вычтем из числителя индекса цены его знаменатель, то мы получим абсолютное изменение стоимости товарооборота в результате изменения цен: То же самое можно сделать для индекса физического объема и для индекса товарооборота. </w:t>
      </w:r>
    </w:p>
    <w:p w:rsidR="00F85632" w:rsidRPr="006261A2" w:rsidRDefault="00F85632" w:rsidP="00F85632">
      <w:pPr>
        <w:ind w:firstLine="567"/>
        <w:jc w:val="both"/>
        <w:rPr>
          <w:bCs w:val="0"/>
          <w:color w:val="auto"/>
        </w:rPr>
      </w:pPr>
      <w:r w:rsidRPr="006261A2">
        <w:rPr>
          <w:bCs w:val="0"/>
          <w:color w:val="auto"/>
        </w:rPr>
        <w:t xml:space="preserve">Средние индексы </w:t>
      </w:r>
    </w:p>
    <w:p w:rsidR="00F85632" w:rsidRPr="006261A2" w:rsidRDefault="00F85632" w:rsidP="00F85632">
      <w:pPr>
        <w:ind w:firstLine="567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  <w:u w:val="single"/>
        </w:rPr>
        <w:t>Агрегатная форма индекса</w:t>
      </w:r>
      <w:r w:rsidRPr="006261A2">
        <w:rPr>
          <w:b w:val="0"/>
          <w:bCs w:val="0"/>
          <w:color w:val="auto"/>
        </w:rPr>
        <w:t xml:space="preserve"> – одна из важнейших, но не единственная. В практических расчетах очень часто используются средние индексы. Это связано с тем, что, например, в индексе цены пересчет продукции, реализованной в текущем периоде, в базисные цены практически очень сложен. В то время как индивидуальные индексы цены на практике разрабатываются постоянно. </w:t>
      </w:r>
    </w:p>
    <w:p w:rsidR="00F85632" w:rsidRPr="006261A2" w:rsidRDefault="00F85632" w:rsidP="00F85632">
      <w:pPr>
        <w:ind w:firstLine="567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Агрегатный индекс цены тождественен среднему гармоническому индексу цены. </w:t>
      </w:r>
    </w:p>
    <w:p w:rsidR="00F85632" w:rsidRPr="006261A2" w:rsidRDefault="00F85632" w:rsidP="00F85632">
      <w:pPr>
        <w:ind w:firstLine="567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Агрегатный индекс физического объема тождественен среднему арифметическому индексу физического объема. </w:t>
      </w:r>
    </w:p>
    <w:p w:rsidR="00F85632" w:rsidRPr="006261A2" w:rsidRDefault="00F85632" w:rsidP="00F85632">
      <w:pPr>
        <w:ind w:firstLine="708"/>
        <w:jc w:val="both"/>
        <w:rPr>
          <w:bCs w:val="0"/>
          <w:color w:val="auto"/>
        </w:rPr>
      </w:pPr>
      <w:r w:rsidRPr="006261A2">
        <w:rPr>
          <w:bCs w:val="0"/>
          <w:color w:val="auto"/>
        </w:rPr>
        <w:t xml:space="preserve">Цепные и базисные индексы с постоянными и переменными весами </w:t>
      </w:r>
    </w:p>
    <w:p w:rsidR="00F85632" w:rsidRPr="006261A2" w:rsidRDefault="00F85632" w:rsidP="00F85632">
      <w:pPr>
        <w:ind w:firstLine="708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  <w:u w:val="single"/>
        </w:rPr>
        <w:t>Цепные индексы</w:t>
      </w:r>
      <w:r w:rsidRPr="006261A2">
        <w:rPr>
          <w:b w:val="0"/>
          <w:bCs w:val="0"/>
          <w:color w:val="auto"/>
        </w:rPr>
        <w:t xml:space="preserve">: Сумма произведений индивидуальных цепных индексов дает базисный индекс за соответствующий период. </w:t>
      </w:r>
    </w:p>
    <w:p w:rsidR="00F85632" w:rsidRPr="006261A2" w:rsidRDefault="00F85632" w:rsidP="00F85632">
      <w:pPr>
        <w:ind w:firstLine="708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  <w:u w:val="single"/>
        </w:rPr>
        <w:t>Базисные индексы</w:t>
      </w:r>
      <w:r w:rsidRPr="006261A2">
        <w:rPr>
          <w:b w:val="0"/>
          <w:bCs w:val="0"/>
          <w:color w:val="auto"/>
        </w:rPr>
        <w:t xml:space="preserve">: </w:t>
      </w:r>
      <w:r>
        <w:rPr>
          <w:b w:val="0"/>
          <w:bCs w:val="0"/>
          <w:color w:val="auto"/>
        </w:rPr>
        <w:t>Ч</w:t>
      </w:r>
      <w:r w:rsidRPr="006261A2">
        <w:rPr>
          <w:b w:val="0"/>
          <w:bCs w:val="0"/>
          <w:color w:val="auto"/>
        </w:rPr>
        <w:t xml:space="preserve">астное от деления последующего базисного индекса на предыдущий индекс дает нам цепной индекс за соответствующий период. </w:t>
      </w:r>
    </w:p>
    <w:p w:rsidR="00F85632" w:rsidRPr="006261A2" w:rsidRDefault="00F85632" w:rsidP="00F85632">
      <w:pPr>
        <w:ind w:firstLine="708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Преимущество сводных индексов с постоянными весами состоит в том, что их можно сравнивать между собой, а также получать цепные индексы </w:t>
      </w:r>
      <w:proofErr w:type="gramStart"/>
      <w:r w:rsidRPr="006261A2">
        <w:rPr>
          <w:b w:val="0"/>
          <w:bCs w:val="0"/>
          <w:color w:val="auto"/>
        </w:rPr>
        <w:t>из</w:t>
      </w:r>
      <w:proofErr w:type="gramEnd"/>
      <w:r w:rsidRPr="006261A2">
        <w:rPr>
          <w:b w:val="0"/>
          <w:bCs w:val="0"/>
          <w:color w:val="auto"/>
        </w:rPr>
        <w:t xml:space="preserve"> базисных и наоборот. </w:t>
      </w:r>
    </w:p>
    <w:p w:rsidR="00F85632" w:rsidRPr="006261A2" w:rsidRDefault="00F85632" w:rsidP="00F85632">
      <w:pPr>
        <w:ind w:firstLine="708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Для индексов с переменными весами такое правило не сохраняется. </w:t>
      </w:r>
    </w:p>
    <w:p w:rsidR="00F85632" w:rsidRPr="006261A2" w:rsidRDefault="00F85632" w:rsidP="00F85632">
      <w:pPr>
        <w:ind w:firstLine="708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С постоянными весами рассчитываются индексы физического объема продукции, а с переменными весами – индексы цен, себестоимости, производительности труда. </w:t>
      </w:r>
    </w:p>
    <w:p w:rsidR="00F85632" w:rsidRDefault="00F85632" w:rsidP="00F85632">
      <w:pPr>
        <w:ind w:firstLine="708"/>
        <w:jc w:val="both"/>
        <w:rPr>
          <w:bCs w:val="0"/>
          <w:color w:val="auto"/>
        </w:rPr>
      </w:pPr>
    </w:p>
    <w:p w:rsidR="00F85632" w:rsidRDefault="00F85632" w:rsidP="00F85632">
      <w:pPr>
        <w:ind w:firstLine="708"/>
        <w:jc w:val="both"/>
        <w:rPr>
          <w:bCs w:val="0"/>
          <w:color w:val="auto"/>
        </w:rPr>
      </w:pPr>
      <w:r>
        <w:rPr>
          <w:bCs w:val="0"/>
          <w:color w:val="auto"/>
        </w:rPr>
        <w:t>2.</w:t>
      </w:r>
      <w:r w:rsidRPr="006261A2">
        <w:rPr>
          <w:bCs w:val="0"/>
          <w:color w:val="auto"/>
        </w:rPr>
        <w:t xml:space="preserve">Индексы </w:t>
      </w:r>
      <w:proofErr w:type="spellStart"/>
      <w:r w:rsidRPr="006261A2">
        <w:rPr>
          <w:bCs w:val="0"/>
          <w:color w:val="auto"/>
        </w:rPr>
        <w:t>Пааше</w:t>
      </w:r>
      <w:proofErr w:type="spellEnd"/>
      <w:r w:rsidRPr="006261A2">
        <w:rPr>
          <w:bCs w:val="0"/>
          <w:color w:val="auto"/>
        </w:rPr>
        <w:t xml:space="preserve">, </w:t>
      </w:r>
      <w:proofErr w:type="spellStart"/>
      <w:r w:rsidRPr="006261A2">
        <w:rPr>
          <w:bCs w:val="0"/>
          <w:color w:val="auto"/>
        </w:rPr>
        <w:t>Ласпейреса</w:t>
      </w:r>
      <w:proofErr w:type="spellEnd"/>
      <w:r w:rsidRPr="006261A2">
        <w:rPr>
          <w:bCs w:val="0"/>
          <w:color w:val="auto"/>
        </w:rPr>
        <w:t xml:space="preserve"> и "идеальный индекс" Фишера </w:t>
      </w:r>
      <w:r>
        <w:rPr>
          <w:bCs w:val="0"/>
          <w:color w:val="auto"/>
        </w:rPr>
        <w:t xml:space="preserve"> </w:t>
      </w:r>
    </w:p>
    <w:p w:rsidR="00F85632" w:rsidRPr="006261A2" w:rsidRDefault="00F85632" w:rsidP="00F85632">
      <w:pPr>
        <w:ind w:firstLine="708"/>
        <w:jc w:val="both"/>
        <w:rPr>
          <w:bCs w:val="0"/>
          <w:color w:val="auto"/>
        </w:rPr>
      </w:pPr>
    </w:p>
    <w:p w:rsidR="00F85632" w:rsidRPr="006261A2" w:rsidRDefault="00F85632" w:rsidP="00F85632">
      <w:p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lastRenderedPageBreak/>
        <w:t xml:space="preserve">Сводный индекс цены с базисными весами – это индекс цены </w:t>
      </w:r>
      <w:proofErr w:type="spellStart"/>
      <w:r w:rsidRPr="006261A2">
        <w:rPr>
          <w:b w:val="0"/>
          <w:bCs w:val="0"/>
          <w:color w:val="auto"/>
        </w:rPr>
        <w:t>Ласпейреса</w:t>
      </w:r>
      <w:proofErr w:type="spellEnd"/>
      <w:r w:rsidRPr="006261A2">
        <w:rPr>
          <w:b w:val="0"/>
          <w:bCs w:val="0"/>
          <w:color w:val="auto"/>
        </w:rPr>
        <w:t xml:space="preserve">. </w:t>
      </w:r>
    </w:p>
    <w:p w:rsidR="00F85632" w:rsidRPr="006261A2" w:rsidRDefault="00F85632" w:rsidP="00F85632">
      <w:p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Надо отметить, что сводный индекс физического объема с базисными весами также именуется индексом физического объема </w:t>
      </w:r>
      <w:proofErr w:type="spellStart"/>
      <w:r w:rsidRPr="006261A2">
        <w:rPr>
          <w:b w:val="0"/>
          <w:bCs w:val="0"/>
          <w:color w:val="auto"/>
        </w:rPr>
        <w:t>Ласпейреса</w:t>
      </w:r>
      <w:proofErr w:type="spellEnd"/>
      <w:r w:rsidRPr="006261A2">
        <w:rPr>
          <w:b w:val="0"/>
          <w:bCs w:val="0"/>
          <w:color w:val="auto"/>
        </w:rPr>
        <w:t xml:space="preserve">. </w:t>
      </w:r>
    </w:p>
    <w:p w:rsidR="00F85632" w:rsidRPr="006261A2" w:rsidRDefault="00F85632" w:rsidP="00F85632">
      <w:p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Сводный индекс физического объема с текущими весами – это индекс цены </w:t>
      </w:r>
      <w:proofErr w:type="spellStart"/>
      <w:r w:rsidRPr="006261A2">
        <w:rPr>
          <w:b w:val="0"/>
          <w:bCs w:val="0"/>
          <w:color w:val="auto"/>
        </w:rPr>
        <w:t>Пааше</w:t>
      </w:r>
      <w:proofErr w:type="spellEnd"/>
      <w:r w:rsidRPr="006261A2">
        <w:rPr>
          <w:b w:val="0"/>
          <w:bCs w:val="0"/>
          <w:color w:val="auto"/>
        </w:rPr>
        <w:t xml:space="preserve">. </w:t>
      </w:r>
    </w:p>
    <w:p w:rsidR="00F85632" w:rsidRPr="006261A2" w:rsidRDefault="00F85632" w:rsidP="00F85632">
      <w:p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 xml:space="preserve">Аналогично сводный индекс цены с текущими весами также называется индексом цены </w:t>
      </w:r>
      <w:proofErr w:type="spellStart"/>
      <w:r w:rsidRPr="006261A2">
        <w:rPr>
          <w:b w:val="0"/>
          <w:bCs w:val="0"/>
          <w:color w:val="auto"/>
        </w:rPr>
        <w:t>Пааше</w:t>
      </w:r>
      <w:proofErr w:type="spellEnd"/>
      <w:r w:rsidRPr="006261A2">
        <w:rPr>
          <w:b w:val="0"/>
          <w:bCs w:val="0"/>
          <w:color w:val="auto"/>
        </w:rPr>
        <w:t xml:space="preserve">. </w:t>
      </w:r>
    </w:p>
    <w:p w:rsidR="00F85632" w:rsidRDefault="00F85632" w:rsidP="00F85632">
      <w:pPr>
        <w:jc w:val="both"/>
        <w:rPr>
          <w:rStyle w:val="apple-converted-space"/>
          <w:b w:val="0"/>
        </w:rPr>
      </w:pPr>
      <w:r w:rsidRPr="006261A2">
        <w:rPr>
          <w:b w:val="0"/>
          <w:bCs w:val="0"/>
          <w:color w:val="auto"/>
        </w:rPr>
        <w:t>Компромиссом явился "идеальный индекс" Фишера</w:t>
      </w:r>
      <w:r>
        <w:rPr>
          <w:b w:val="0"/>
          <w:bCs w:val="0"/>
          <w:color w:val="auto"/>
        </w:rPr>
        <w:t xml:space="preserve">. </w:t>
      </w:r>
      <w:r w:rsidRPr="008C482A">
        <w:rPr>
          <w:b w:val="0"/>
        </w:rPr>
        <w:t xml:space="preserve">Индекс Фишера представляет собой </w:t>
      </w:r>
      <w:proofErr w:type="gramStart"/>
      <w:r w:rsidRPr="008C482A">
        <w:rPr>
          <w:b w:val="0"/>
        </w:rPr>
        <w:t>геометрическую</w:t>
      </w:r>
      <w:proofErr w:type="gramEnd"/>
      <w:r w:rsidRPr="008C482A">
        <w:rPr>
          <w:b w:val="0"/>
        </w:rPr>
        <w:t xml:space="preserve"> среднюю из индекса </w:t>
      </w:r>
      <w:proofErr w:type="spellStart"/>
      <w:r w:rsidRPr="008C482A">
        <w:rPr>
          <w:b w:val="0"/>
        </w:rPr>
        <w:t>Ласпейреса</w:t>
      </w:r>
      <w:proofErr w:type="spellEnd"/>
      <w:r w:rsidRPr="008C482A">
        <w:rPr>
          <w:b w:val="0"/>
        </w:rPr>
        <w:t xml:space="preserve"> и индекса </w:t>
      </w:r>
      <w:proofErr w:type="spellStart"/>
      <w:r w:rsidRPr="008C482A">
        <w:rPr>
          <w:b w:val="0"/>
        </w:rPr>
        <w:t>Пааше</w:t>
      </w:r>
      <w:proofErr w:type="spellEnd"/>
      <w:r w:rsidRPr="008C482A">
        <w:rPr>
          <w:b w:val="0"/>
        </w:rPr>
        <w:t>.</w:t>
      </w:r>
      <w:r w:rsidRPr="008C482A">
        <w:rPr>
          <w:rStyle w:val="apple-converted-space"/>
        </w:rPr>
        <w:t> </w:t>
      </w:r>
    </w:p>
    <w:p w:rsidR="00F85632" w:rsidRPr="008C482A" w:rsidRDefault="00F85632" w:rsidP="00F85632">
      <w:pPr>
        <w:jc w:val="center"/>
        <w:rPr>
          <w:b w:val="0"/>
          <w:bCs w:val="0"/>
          <w:color w:val="auto"/>
        </w:rPr>
      </w:pPr>
      <w:r>
        <w:br/>
      </w:r>
      <w:r>
        <w:rPr>
          <w:noProof/>
        </w:rPr>
        <w:drawing>
          <wp:inline distT="0" distB="0" distL="0" distR="0" wp14:anchorId="1953A4ED" wp14:editId="38EAD2D8">
            <wp:extent cx="819785" cy="293370"/>
            <wp:effectExtent l="0" t="0" r="0" b="0"/>
            <wp:docPr id="100" name="Рисунок 100" descr="Экономика. Була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Экономика. Булато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632" w:rsidRDefault="00F85632" w:rsidP="00F85632">
      <w:pPr>
        <w:jc w:val="both"/>
        <w:rPr>
          <w:b w:val="0"/>
          <w:bCs w:val="0"/>
          <w:color w:val="auto"/>
        </w:rPr>
      </w:pPr>
    </w:p>
    <w:p w:rsidR="00F85632" w:rsidRDefault="00F85632" w:rsidP="00F85632">
      <w:p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>Сводная таблица «Индексы»</w:t>
      </w:r>
    </w:p>
    <w:p w:rsidR="00F85632" w:rsidRPr="006261A2" w:rsidRDefault="00F85632" w:rsidP="00F85632">
      <w:pPr>
        <w:jc w:val="righ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Таблица 8.1</w:t>
      </w:r>
    </w:p>
    <w:tbl>
      <w:tblPr>
        <w:tblStyle w:val="a6"/>
        <w:tblW w:w="9747" w:type="dxa"/>
        <w:tblLook w:val="01E0" w:firstRow="1" w:lastRow="1" w:firstColumn="1" w:lastColumn="1" w:noHBand="0" w:noVBand="0"/>
      </w:tblPr>
      <w:tblGrid>
        <w:gridCol w:w="1420"/>
        <w:gridCol w:w="1421"/>
        <w:gridCol w:w="2685"/>
        <w:gridCol w:w="2121"/>
        <w:gridCol w:w="2100"/>
      </w:tblGrid>
      <w:tr w:rsidR="00F85632" w:rsidRPr="006261A2" w:rsidTr="006B3270">
        <w:tc>
          <w:tcPr>
            <w:tcW w:w="5526" w:type="dxa"/>
            <w:gridSpan w:val="3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Индексы</w:t>
            </w:r>
          </w:p>
        </w:tc>
        <w:tc>
          <w:tcPr>
            <w:tcW w:w="2121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Базисные</w:t>
            </w:r>
          </w:p>
        </w:tc>
        <w:tc>
          <w:tcPr>
            <w:tcW w:w="2100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Цепные</w:t>
            </w:r>
          </w:p>
        </w:tc>
      </w:tr>
      <w:tr w:rsidR="00F85632" w:rsidRPr="006261A2" w:rsidTr="006B3270">
        <w:tc>
          <w:tcPr>
            <w:tcW w:w="1420" w:type="dxa"/>
            <w:vMerge w:val="restart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proofErr w:type="spellStart"/>
            <w:r w:rsidRPr="006261A2">
              <w:rPr>
                <w:b w:val="0"/>
                <w:bCs w:val="0"/>
                <w:color w:val="auto"/>
              </w:rPr>
              <w:t>Физ</w:t>
            </w:r>
            <w:proofErr w:type="gramStart"/>
            <w:r w:rsidRPr="006261A2">
              <w:rPr>
                <w:b w:val="0"/>
                <w:bCs w:val="0"/>
                <w:color w:val="auto"/>
              </w:rPr>
              <w:t>.о</w:t>
            </w:r>
            <w:proofErr w:type="gramEnd"/>
            <w:r w:rsidRPr="006261A2">
              <w:rPr>
                <w:b w:val="0"/>
                <w:bCs w:val="0"/>
                <w:color w:val="auto"/>
              </w:rPr>
              <w:t>бъема</w:t>
            </w:r>
            <w:proofErr w:type="spellEnd"/>
            <w:r w:rsidRPr="006261A2">
              <w:rPr>
                <w:b w:val="0"/>
                <w:bCs w:val="0"/>
                <w:color w:val="auto"/>
              </w:rPr>
              <w:t xml:space="preserve"> продукции</w:t>
            </w:r>
          </w:p>
        </w:tc>
        <w:tc>
          <w:tcPr>
            <w:tcW w:w="4106" w:type="dxa"/>
            <w:gridSpan w:val="2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Индивидуальные</w:t>
            </w:r>
          </w:p>
        </w:tc>
        <w:tc>
          <w:tcPr>
            <w:tcW w:w="2121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US"/>
              </w:rPr>
            </w:pPr>
            <w:r w:rsidRPr="006261A2">
              <w:rPr>
                <w:b w:val="0"/>
                <w:bCs w:val="0"/>
                <w:color w:val="auto"/>
                <w:lang w:val="en-US"/>
              </w:rPr>
              <w:t>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/ 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100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  <w:lang w:val="en-US"/>
              </w:rPr>
              <w:t>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/ q 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i-1</w:t>
            </w:r>
          </w:p>
        </w:tc>
      </w:tr>
      <w:tr w:rsidR="00F85632" w:rsidRPr="006B3270" w:rsidTr="006B3270">
        <w:tc>
          <w:tcPr>
            <w:tcW w:w="1420" w:type="dxa"/>
            <w:vMerge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</w:p>
        </w:tc>
        <w:tc>
          <w:tcPr>
            <w:tcW w:w="1421" w:type="dxa"/>
            <w:vMerge w:val="restart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proofErr w:type="spellStart"/>
            <w:r w:rsidRPr="006261A2">
              <w:rPr>
                <w:b w:val="0"/>
                <w:bCs w:val="0"/>
                <w:color w:val="auto"/>
              </w:rPr>
              <w:t>Арегатные</w:t>
            </w:r>
            <w:proofErr w:type="spellEnd"/>
          </w:p>
        </w:tc>
        <w:tc>
          <w:tcPr>
            <w:tcW w:w="2685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В ценах базисного периода</w:t>
            </w:r>
          </w:p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(</w:t>
            </w:r>
            <w:proofErr w:type="spellStart"/>
            <w:r w:rsidRPr="006261A2">
              <w:rPr>
                <w:b w:val="0"/>
                <w:bCs w:val="0"/>
                <w:color w:val="auto"/>
              </w:rPr>
              <w:t>Ласпейреса</w:t>
            </w:r>
            <w:proofErr w:type="spellEnd"/>
            <w:r w:rsidRPr="006261A2">
              <w:rPr>
                <w:b w:val="0"/>
                <w:bCs w:val="0"/>
                <w:color w:val="auto"/>
              </w:rPr>
              <w:t>)</w:t>
            </w:r>
          </w:p>
        </w:tc>
        <w:tc>
          <w:tcPr>
            <w:tcW w:w="2121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GB"/>
              </w:rPr>
            </w:pPr>
            <w:r w:rsidRPr="006261A2">
              <w:rPr>
                <w:b w:val="0"/>
                <w:bCs w:val="0"/>
                <w:color w:val="auto"/>
              </w:rPr>
              <w:t>Σ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vertAlign w:val="subscript"/>
                <w:lang w:val="en-GB"/>
              </w:rPr>
              <w:t xml:space="preserve"> </w:t>
            </w:r>
            <w:r w:rsidRPr="006261A2">
              <w:rPr>
                <w:b w:val="0"/>
                <w:bCs w:val="0"/>
                <w:color w:val="auto"/>
                <w:lang w:val="en-GB"/>
              </w:rPr>
              <w:t>×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proofErr w:type="spellEnd"/>
            <w:r w:rsidRPr="006261A2">
              <w:rPr>
                <w:b w:val="0"/>
                <w:bCs w:val="0"/>
                <w:color w:val="auto"/>
                <w:lang w:val="en-US"/>
              </w:rPr>
              <w:t xml:space="preserve"> / 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100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GB"/>
              </w:rPr>
            </w:pPr>
            <w:r w:rsidRPr="006261A2">
              <w:rPr>
                <w:b w:val="0"/>
                <w:bCs w:val="0"/>
                <w:color w:val="auto"/>
              </w:rPr>
              <w:t>Σ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GB"/>
              </w:rPr>
              <w:t>×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proofErr w:type="spellEnd"/>
            <w:r w:rsidRPr="006261A2">
              <w:rPr>
                <w:b w:val="0"/>
                <w:bCs w:val="0"/>
                <w:color w:val="auto"/>
                <w:lang w:val="en-US"/>
              </w:rPr>
              <w:t xml:space="preserve"> / 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i-1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</w:p>
        </w:tc>
      </w:tr>
      <w:tr w:rsidR="00F85632" w:rsidRPr="006B3270" w:rsidTr="006B3270">
        <w:tc>
          <w:tcPr>
            <w:tcW w:w="1420" w:type="dxa"/>
            <w:vMerge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GB"/>
              </w:rPr>
            </w:pPr>
          </w:p>
        </w:tc>
        <w:tc>
          <w:tcPr>
            <w:tcW w:w="1421" w:type="dxa"/>
            <w:vMerge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GB"/>
              </w:rPr>
            </w:pPr>
          </w:p>
        </w:tc>
        <w:tc>
          <w:tcPr>
            <w:tcW w:w="2685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В ценах отчетного периода</w:t>
            </w:r>
          </w:p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(</w:t>
            </w:r>
            <w:proofErr w:type="spellStart"/>
            <w:r w:rsidRPr="006261A2">
              <w:rPr>
                <w:b w:val="0"/>
                <w:bCs w:val="0"/>
                <w:color w:val="auto"/>
              </w:rPr>
              <w:t>Пааше</w:t>
            </w:r>
            <w:proofErr w:type="spellEnd"/>
            <w:r w:rsidRPr="006261A2">
              <w:rPr>
                <w:b w:val="0"/>
                <w:bCs w:val="0"/>
                <w:color w:val="auto"/>
              </w:rPr>
              <w:t>)</w:t>
            </w:r>
          </w:p>
        </w:tc>
        <w:tc>
          <w:tcPr>
            <w:tcW w:w="2121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GB"/>
              </w:rPr>
            </w:pPr>
            <w:r w:rsidRPr="006261A2">
              <w:rPr>
                <w:b w:val="0"/>
                <w:bCs w:val="0"/>
                <w:color w:val="auto"/>
              </w:rPr>
              <w:t>Σ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vertAlign w:val="subscript"/>
                <w:lang w:val="en-GB"/>
              </w:rPr>
              <w:t xml:space="preserve"> </w:t>
            </w:r>
            <w:r w:rsidRPr="006261A2">
              <w:rPr>
                <w:b w:val="0"/>
                <w:bCs w:val="0"/>
                <w:color w:val="auto"/>
                <w:lang w:val="en-GB"/>
              </w:rPr>
              <w:t>×</w:t>
            </w:r>
            <w:r w:rsidRPr="006261A2">
              <w:rPr>
                <w:b w:val="0"/>
                <w:bCs w:val="0"/>
                <w:color w:val="auto"/>
                <w:lang w:val="en-US"/>
              </w:rPr>
              <w:t>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/ 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2100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GB"/>
              </w:rPr>
            </w:pPr>
            <w:r w:rsidRPr="006261A2">
              <w:rPr>
                <w:b w:val="0"/>
                <w:bCs w:val="0"/>
                <w:color w:val="auto"/>
              </w:rPr>
              <w:t>Σ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vertAlign w:val="subscript"/>
                <w:lang w:val="en-GB"/>
              </w:rPr>
              <w:t xml:space="preserve"> </w:t>
            </w:r>
            <w:r w:rsidRPr="006261A2">
              <w:rPr>
                <w:b w:val="0"/>
                <w:bCs w:val="0"/>
                <w:color w:val="auto"/>
                <w:lang w:val="en-GB"/>
              </w:rPr>
              <w:t>×</w:t>
            </w:r>
            <w:r w:rsidRPr="006261A2">
              <w:rPr>
                <w:b w:val="0"/>
                <w:bCs w:val="0"/>
                <w:color w:val="auto"/>
                <w:lang w:val="en-US"/>
              </w:rPr>
              <w:t>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/ 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i-1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</w:p>
        </w:tc>
      </w:tr>
      <w:tr w:rsidR="00F85632" w:rsidRPr="006261A2" w:rsidTr="006B3270">
        <w:tc>
          <w:tcPr>
            <w:tcW w:w="1420" w:type="dxa"/>
            <w:vMerge w:val="restart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Цен</w:t>
            </w:r>
          </w:p>
        </w:tc>
        <w:tc>
          <w:tcPr>
            <w:tcW w:w="4106" w:type="dxa"/>
            <w:gridSpan w:val="2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Индивидуальные</w:t>
            </w:r>
          </w:p>
        </w:tc>
        <w:tc>
          <w:tcPr>
            <w:tcW w:w="2121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US"/>
              </w:rPr>
            </w:pPr>
            <w:r w:rsidRPr="006261A2">
              <w:rPr>
                <w:b w:val="0"/>
                <w:bCs w:val="0"/>
                <w:color w:val="auto"/>
                <w:lang w:val="en-US"/>
              </w:rPr>
              <w:t>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 xml:space="preserve">i 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/ 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100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  <w:lang w:val="en-US"/>
              </w:rPr>
              <w:t>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/ p 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i-1</w:t>
            </w:r>
          </w:p>
        </w:tc>
      </w:tr>
      <w:tr w:rsidR="00F85632" w:rsidRPr="006B3270" w:rsidTr="006B3270">
        <w:tc>
          <w:tcPr>
            <w:tcW w:w="1420" w:type="dxa"/>
            <w:vMerge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</w:p>
        </w:tc>
        <w:tc>
          <w:tcPr>
            <w:tcW w:w="1421" w:type="dxa"/>
            <w:vMerge w:val="restart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Агрегатные</w:t>
            </w:r>
          </w:p>
        </w:tc>
        <w:tc>
          <w:tcPr>
            <w:tcW w:w="2685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В объеме базисного периода (</w:t>
            </w:r>
            <w:proofErr w:type="spellStart"/>
            <w:r w:rsidRPr="006261A2">
              <w:rPr>
                <w:b w:val="0"/>
                <w:bCs w:val="0"/>
                <w:color w:val="auto"/>
              </w:rPr>
              <w:t>Ласпейреса</w:t>
            </w:r>
            <w:proofErr w:type="spellEnd"/>
            <w:r w:rsidRPr="006261A2">
              <w:rPr>
                <w:b w:val="0"/>
                <w:bCs w:val="0"/>
                <w:color w:val="auto"/>
              </w:rPr>
              <w:t>)</w:t>
            </w:r>
          </w:p>
        </w:tc>
        <w:tc>
          <w:tcPr>
            <w:tcW w:w="2121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US"/>
              </w:rPr>
            </w:pPr>
            <w:r w:rsidRPr="006261A2">
              <w:rPr>
                <w:b w:val="0"/>
                <w:bCs w:val="0"/>
                <w:color w:val="auto"/>
              </w:rPr>
              <w:t>Σ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proofErr w:type="spellEnd"/>
            <w:r w:rsidRPr="006261A2">
              <w:rPr>
                <w:b w:val="0"/>
                <w:bCs w:val="0"/>
                <w:color w:val="auto"/>
                <w:vertAlign w:val="subscript"/>
                <w:lang w:val="en-GB"/>
              </w:rPr>
              <w:t xml:space="preserve"> </w:t>
            </w:r>
            <w:r w:rsidRPr="006261A2">
              <w:rPr>
                <w:b w:val="0"/>
                <w:bCs w:val="0"/>
                <w:color w:val="auto"/>
                <w:lang w:val="en-GB"/>
              </w:rPr>
              <w:t>×</w:t>
            </w:r>
            <w:r w:rsidRPr="006261A2">
              <w:rPr>
                <w:b w:val="0"/>
                <w:bCs w:val="0"/>
                <w:color w:val="auto"/>
                <w:lang w:val="en-US"/>
              </w:rPr>
              <w:t>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/ 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100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GB"/>
              </w:rPr>
            </w:pPr>
            <w:r w:rsidRPr="006261A2">
              <w:rPr>
                <w:b w:val="0"/>
                <w:bCs w:val="0"/>
                <w:color w:val="auto"/>
              </w:rPr>
              <w:t>Σ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proofErr w:type="spellEnd"/>
            <w:r w:rsidRPr="006261A2">
              <w:rPr>
                <w:b w:val="0"/>
                <w:bCs w:val="0"/>
                <w:color w:val="auto"/>
                <w:vertAlign w:val="subscript"/>
                <w:lang w:val="en-GB"/>
              </w:rPr>
              <w:t xml:space="preserve"> </w:t>
            </w:r>
            <w:r w:rsidRPr="006261A2">
              <w:rPr>
                <w:b w:val="0"/>
                <w:bCs w:val="0"/>
                <w:color w:val="auto"/>
                <w:lang w:val="en-GB"/>
              </w:rPr>
              <w:t>×</w:t>
            </w:r>
            <w:r w:rsidRPr="006261A2">
              <w:rPr>
                <w:b w:val="0"/>
                <w:bCs w:val="0"/>
                <w:color w:val="auto"/>
                <w:lang w:val="en-US"/>
              </w:rPr>
              <w:t>pi / 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i-1</w:t>
            </w:r>
          </w:p>
        </w:tc>
      </w:tr>
      <w:tr w:rsidR="00F85632" w:rsidRPr="006B3270" w:rsidTr="006B3270">
        <w:tc>
          <w:tcPr>
            <w:tcW w:w="1420" w:type="dxa"/>
            <w:vMerge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GB"/>
              </w:rPr>
            </w:pPr>
          </w:p>
        </w:tc>
        <w:tc>
          <w:tcPr>
            <w:tcW w:w="1421" w:type="dxa"/>
            <w:vMerge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GB"/>
              </w:rPr>
            </w:pPr>
          </w:p>
        </w:tc>
        <w:tc>
          <w:tcPr>
            <w:tcW w:w="2685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В объеме отчетного периода (</w:t>
            </w:r>
            <w:proofErr w:type="spellStart"/>
            <w:r w:rsidRPr="006261A2">
              <w:rPr>
                <w:b w:val="0"/>
                <w:bCs w:val="0"/>
                <w:color w:val="auto"/>
              </w:rPr>
              <w:t>Пааше</w:t>
            </w:r>
            <w:proofErr w:type="spellEnd"/>
            <w:r w:rsidRPr="006261A2">
              <w:rPr>
                <w:b w:val="0"/>
                <w:bCs w:val="0"/>
                <w:color w:val="auto"/>
              </w:rPr>
              <w:t>)</w:t>
            </w:r>
          </w:p>
        </w:tc>
        <w:tc>
          <w:tcPr>
            <w:tcW w:w="2121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US"/>
              </w:rPr>
            </w:pPr>
            <w:r w:rsidRPr="006261A2">
              <w:rPr>
                <w:b w:val="0"/>
                <w:bCs w:val="0"/>
                <w:color w:val="auto"/>
              </w:rPr>
              <w:t>Σ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vertAlign w:val="subscript"/>
                <w:lang w:val="en-GB"/>
              </w:rPr>
              <w:t xml:space="preserve"> </w:t>
            </w:r>
            <w:r w:rsidRPr="006261A2">
              <w:rPr>
                <w:b w:val="0"/>
                <w:bCs w:val="0"/>
                <w:color w:val="auto"/>
                <w:lang w:val="en-GB"/>
              </w:rPr>
              <w:t>×</w:t>
            </w:r>
            <w:r w:rsidRPr="006261A2">
              <w:rPr>
                <w:b w:val="0"/>
                <w:bCs w:val="0"/>
                <w:color w:val="auto"/>
                <w:lang w:val="en-US"/>
              </w:rPr>
              <w:t>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/ 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100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  <w:lang w:val="en-GB"/>
              </w:rPr>
            </w:pPr>
            <w:r w:rsidRPr="006261A2">
              <w:rPr>
                <w:b w:val="0"/>
                <w:bCs w:val="0"/>
                <w:color w:val="auto"/>
              </w:rPr>
              <w:t>Σ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vertAlign w:val="subscript"/>
                <w:lang w:val="en-GB"/>
              </w:rPr>
              <w:t xml:space="preserve"> </w:t>
            </w:r>
            <w:r w:rsidRPr="006261A2">
              <w:rPr>
                <w:b w:val="0"/>
                <w:bCs w:val="0"/>
                <w:color w:val="auto"/>
                <w:lang w:val="en-GB"/>
              </w:rPr>
              <w:t>×</w:t>
            </w:r>
            <w:r w:rsidRPr="006261A2">
              <w:rPr>
                <w:b w:val="0"/>
                <w:bCs w:val="0"/>
                <w:color w:val="auto"/>
                <w:lang w:val="en-US"/>
              </w:rPr>
              <w:t>pi / 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i-1</w:t>
            </w:r>
          </w:p>
        </w:tc>
      </w:tr>
      <w:tr w:rsidR="00F85632" w:rsidRPr="006261A2" w:rsidTr="006B3270">
        <w:tc>
          <w:tcPr>
            <w:tcW w:w="1420" w:type="dxa"/>
            <w:vMerge w:val="restart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Стоимости</w:t>
            </w:r>
          </w:p>
        </w:tc>
        <w:tc>
          <w:tcPr>
            <w:tcW w:w="4106" w:type="dxa"/>
            <w:gridSpan w:val="2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Индивидуальные</w:t>
            </w:r>
          </w:p>
        </w:tc>
        <w:tc>
          <w:tcPr>
            <w:tcW w:w="2121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  <w:lang w:val="en-US"/>
              </w:rPr>
              <w:t xml:space="preserve"> 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vertAlign w:val="subscript"/>
              </w:rPr>
              <w:t xml:space="preserve"> </w:t>
            </w:r>
            <w:r w:rsidRPr="006261A2">
              <w:rPr>
                <w:b w:val="0"/>
                <w:bCs w:val="0"/>
                <w:color w:val="auto"/>
              </w:rPr>
              <w:t>×</w:t>
            </w:r>
            <w:r w:rsidRPr="006261A2">
              <w:rPr>
                <w:b w:val="0"/>
                <w:bCs w:val="0"/>
                <w:color w:val="auto"/>
                <w:lang w:val="en-US"/>
              </w:rPr>
              <w:t>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/ 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100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  <w:lang w:val="en-US"/>
              </w:rPr>
              <w:t>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vertAlign w:val="subscript"/>
              </w:rPr>
              <w:t xml:space="preserve"> </w:t>
            </w:r>
            <w:r w:rsidRPr="006261A2">
              <w:rPr>
                <w:b w:val="0"/>
                <w:bCs w:val="0"/>
                <w:color w:val="auto"/>
              </w:rPr>
              <w:t>×</w:t>
            </w:r>
            <w:r w:rsidRPr="006261A2">
              <w:rPr>
                <w:b w:val="0"/>
                <w:bCs w:val="0"/>
                <w:color w:val="auto"/>
                <w:lang w:val="en-US"/>
              </w:rPr>
              <w:t>pi / 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i-1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i-1</w:t>
            </w:r>
          </w:p>
        </w:tc>
      </w:tr>
      <w:tr w:rsidR="00F85632" w:rsidRPr="006261A2" w:rsidTr="006B3270">
        <w:trPr>
          <w:trHeight w:val="347"/>
        </w:trPr>
        <w:tc>
          <w:tcPr>
            <w:tcW w:w="1420" w:type="dxa"/>
            <w:vMerge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</w:p>
        </w:tc>
        <w:tc>
          <w:tcPr>
            <w:tcW w:w="4106" w:type="dxa"/>
            <w:gridSpan w:val="2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r w:rsidRPr="006261A2">
              <w:rPr>
                <w:b w:val="0"/>
                <w:bCs w:val="0"/>
                <w:color w:val="auto"/>
              </w:rPr>
              <w:t>Агрегатные</w:t>
            </w:r>
          </w:p>
        </w:tc>
        <w:tc>
          <w:tcPr>
            <w:tcW w:w="2121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proofErr w:type="spellEnd"/>
            <w:r w:rsidRPr="006261A2">
              <w:rPr>
                <w:b w:val="0"/>
                <w:bCs w:val="0"/>
                <w:color w:val="auto"/>
                <w:vertAlign w:val="subscript"/>
              </w:rPr>
              <w:t xml:space="preserve"> </w:t>
            </w:r>
            <w:r w:rsidRPr="006261A2">
              <w:rPr>
                <w:b w:val="0"/>
                <w:bCs w:val="0"/>
                <w:color w:val="auto"/>
              </w:rPr>
              <w:t>×</w:t>
            </w:r>
            <w:r w:rsidRPr="006261A2">
              <w:rPr>
                <w:b w:val="0"/>
                <w:bCs w:val="0"/>
                <w:color w:val="auto"/>
                <w:lang w:val="en-US"/>
              </w:rPr>
              <w:t>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r w:rsidRPr="006261A2">
              <w:rPr>
                <w:b w:val="0"/>
                <w:bCs w:val="0"/>
                <w:color w:val="auto"/>
                <w:lang w:val="en-US"/>
              </w:rPr>
              <w:t xml:space="preserve"> / </w:t>
            </w: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2100" w:type="dxa"/>
          </w:tcPr>
          <w:p w:rsidR="00F85632" w:rsidRPr="006261A2" w:rsidRDefault="00F85632" w:rsidP="000A2658">
            <w:pPr>
              <w:jc w:val="both"/>
              <w:rPr>
                <w:b w:val="0"/>
                <w:bCs w:val="0"/>
                <w:color w:val="auto"/>
              </w:rPr>
            </w:pPr>
            <w:proofErr w:type="spellStart"/>
            <w:r w:rsidRPr="006261A2">
              <w:rPr>
                <w:b w:val="0"/>
                <w:bCs w:val="0"/>
                <w:color w:val="auto"/>
                <w:lang w:val="en-US"/>
              </w:rPr>
              <w:t>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</w:t>
            </w:r>
            <w:proofErr w:type="spellEnd"/>
            <w:r w:rsidRPr="006261A2">
              <w:rPr>
                <w:b w:val="0"/>
                <w:bCs w:val="0"/>
                <w:color w:val="auto"/>
                <w:vertAlign w:val="subscript"/>
              </w:rPr>
              <w:t xml:space="preserve"> </w:t>
            </w:r>
            <w:r w:rsidRPr="006261A2">
              <w:rPr>
                <w:b w:val="0"/>
                <w:bCs w:val="0"/>
                <w:color w:val="auto"/>
              </w:rPr>
              <w:t>×</w:t>
            </w:r>
            <w:r w:rsidRPr="006261A2">
              <w:rPr>
                <w:b w:val="0"/>
                <w:bCs w:val="0"/>
                <w:color w:val="auto"/>
                <w:lang w:val="en-US"/>
              </w:rPr>
              <w:t>pi / Σq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i-1</w:t>
            </w:r>
            <w:r w:rsidRPr="006261A2">
              <w:rPr>
                <w:b w:val="0"/>
                <w:bCs w:val="0"/>
                <w:color w:val="auto"/>
                <w:lang w:val="en-US"/>
              </w:rPr>
              <w:t>×p</w:t>
            </w:r>
            <w:r w:rsidRPr="006261A2">
              <w:rPr>
                <w:b w:val="0"/>
                <w:bCs w:val="0"/>
                <w:color w:val="auto"/>
                <w:vertAlign w:val="subscript"/>
                <w:lang w:val="en-US"/>
              </w:rPr>
              <w:t>i-1</w:t>
            </w:r>
          </w:p>
        </w:tc>
      </w:tr>
    </w:tbl>
    <w:p w:rsidR="00F85632" w:rsidRPr="006261A2" w:rsidRDefault="00F85632" w:rsidP="00F85632">
      <w:pPr>
        <w:jc w:val="both"/>
        <w:rPr>
          <w:b w:val="0"/>
          <w:bCs w:val="0"/>
          <w:color w:val="auto"/>
        </w:rPr>
      </w:pPr>
    </w:p>
    <w:p w:rsidR="00F85632" w:rsidRPr="006261A2" w:rsidRDefault="00F85632" w:rsidP="00F85632">
      <w:p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>Правила для индивидуальных индексов цен, физического объема, стоимости продукции:</w:t>
      </w:r>
    </w:p>
    <w:p w:rsidR="00F85632" w:rsidRPr="006261A2" w:rsidRDefault="00F85632" w:rsidP="00F85632">
      <w:pPr>
        <w:numPr>
          <w:ilvl w:val="0"/>
          <w:numId w:val="4"/>
        </w:num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>Произведение промежуточных по периодам цепных индексов дает базисный индекс последнего периода</w:t>
      </w:r>
    </w:p>
    <w:p w:rsidR="00F85632" w:rsidRPr="006261A2" w:rsidRDefault="00F85632" w:rsidP="00F85632">
      <w:pPr>
        <w:ind w:left="1068" w:firstLine="348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  <w:lang w:val="en-US"/>
        </w:rPr>
        <w:t>I</w:t>
      </w:r>
      <w:r w:rsidRPr="006261A2">
        <w:rPr>
          <w:b w:val="0"/>
          <w:bCs w:val="0"/>
          <w:color w:val="auto"/>
        </w:rPr>
        <w:t xml:space="preserve"> </w:t>
      </w:r>
      <w:r w:rsidRPr="006261A2">
        <w:rPr>
          <w:b w:val="0"/>
          <w:bCs w:val="0"/>
          <w:color w:val="auto"/>
          <w:vertAlign w:val="subscript"/>
        </w:rPr>
        <w:t>4/0</w:t>
      </w:r>
      <w:r w:rsidRPr="006261A2">
        <w:rPr>
          <w:b w:val="0"/>
          <w:bCs w:val="0"/>
          <w:color w:val="auto"/>
        </w:rPr>
        <w:t xml:space="preserve"> = </w:t>
      </w:r>
      <w:r w:rsidRPr="006261A2">
        <w:rPr>
          <w:b w:val="0"/>
          <w:bCs w:val="0"/>
          <w:color w:val="auto"/>
          <w:lang w:val="en-US"/>
        </w:rPr>
        <w:t>I</w:t>
      </w:r>
      <w:r w:rsidRPr="006261A2">
        <w:rPr>
          <w:b w:val="0"/>
          <w:bCs w:val="0"/>
          <w:color w:val="auto"/>
        </w:rPr>
        <w:t xml:space="preserve"> </w:t>
      </w:r>
      <w:r w:rsidRPr="006261A2">
        <w:rPr>
          <w:b w:val="0"/>
          <w:bCs w:val="0"/>
          <w:color w:val="auto"/>
          <w:vertAlign w:val="subscript"/>
        </w:rPr>
        <w:t>1/0</w:t>
      </w:r>
      <w:r w:rsidRPr="006261A2">
        <w:rPr>
          <w:b w:val="0"/>
          <w:bCs w:val="0"/>
          <w:color w:val="auto"/>
        </w:rPr>
        <w:t>×</w:t>
      </w:r>
      <w:r w:rsidRPr="006261A2">
        <w:rPr>
          <w:b w:val="0"/>
          <w:bCs w:val="0"/>
          <w:color w:val="auto"/>
          <w:lang w:val="en-US"/>
        </w:rPr>
        <w:t>I</w:t>
      </w:r>
      <w:r w:rsidRPr="006261A2">
        <w:rPr>
          <w:b w:val="0"/>
          <w:bCs w:val="0"/>
          <w:color w:val="auto"/>
        </w:rPr>
        <w:t xml:space="preserve"> </w:t>
      </w:r>
      <w:r w:rsidRPr="006261A2">
        <w:rPr>
          <w:b w:val="0"/>
          <w:bCs w:val="0"/>
          <w:color w:val="auto"/>
          <w:vertAlign w:val="subscript"/>
        </w:rPr>
        <w:t>2/1</w:t>
      </w:r>
      <w:r w:rsidRPr="006261A2">
        <w:rPr>
          <w:b w:val="0"/>
          <w:bCs w:val="0"/>
          <w:color w:val="auto"/>
        </w:rPr>
        <w:t>×</w:t>
      </w:r>
      <w:r w:rsidRPr="006261A2">
        <w:rPr>
          <w:b w:val="0"/>
          <w:bCs w:val="0"/>
          <w:color w:val="auto"/>
          <w:lang w:val="en-US"/>
        </w:rPr>
        <w:t>I</w:t>
      </w:r>
      <w:r w:rsidRPr="006261A2">
        <w:rPr>
          <w:b w:val="0"/>
          <w:bCs w:val="0"/>
          <w:color w:val="auto"/>
        </w:rPr>
        <w:t xml:space="preserve"> </w:t>
      </w:r>
      <w:r w:rsidRPr="006261A2">
        <w:rPr>
          <w:b w:val="0"/>
          <w:bCs w:val="0"/>
          <w:color w:val="auto"/>
          <w:vertAlign w:val="subscript"/>
        </w:rPr>
        <w:t>3/2</w:t>
      </w:r>
      <w:r w:rsidRPr="006261A2">
        <w:rPr>
          <w:b w:val="0"/>
          <w:bCs w:val="0"/>
          <w:color w:val="auto"/>
        </w:rPr>
        <w:t>×</w:t>
      </w:r>
      <w:r w:rsidRPr="006261A2">
        <w:rPr>
          <w:b w:val="0"/>
          <w:bCs w:val="0"/>
          <w:color w:val="auto"/>
          <w:lang w:val="en-US"/>
        </w:rPr>
        <w:t>I</w:t>
      </w:r>
      <w:r w:rsidRPr="006261A2">
        <w:rPr>
          <w:b w:val="0"/>
          <w:bCs w:val="0"/>
          <w:color w:val="auto"/>
        </w:rPr>
        <w:t xml:space="preserve"> </w:t>
      </w:r>
      <w:r w:rsidRPr="006261A2">
        <w:rPr>
          <w:b w:val="0"/>
          <w:bCs w:val="0"/>
          <w:color w:val="auto"/>
          <w:vertAlign w:val="subscript"/>
        </w:rPr>
        <w:t>4/3</w:t>
      </w:r>
    </w:p>
    <w:p w:rsidR="00F85632" w:rsidRPr="006261A2" w:rsidRDefault="00F85632" w:rsidP="00F85632">
      <w:pPr>
        <w:numPr>
          <w:ilvl w:val="0"/>
          <w:numId w:val="4"/>
        </w:numPr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</w:rPr>
        <w:t>Отношение базисного индекса отчетного периода к базисному индексу прошлого периода дает цепной индекс отчетного периода</w:t>
      </w:r>
    </w:p>
    <w:p w:rsidR="00F85632" w:rsidRPr="006261A2" w:rsidRDefault="00F85632" w:rsidP="00F85632">
      <w:pPr>
        <w:jc w:val="both"/>
        <w:rPr>
          <w:b w:val="0"/>
          <w:bCs w:val="0"/>
          <w:color w:val="auto"/>
        </w:rPr>
      </w:pPr>
    </w:p>
    <w:p w:rsidR="00F85632" w:rsidRPr="006261A2" w:rsidRDefault="00F85632" w:rsidP="00F85632">
      <w:pPr>
        <w:ind w:left="708" w:firstLine="708"/>
        <w:jc w:val="both"/>
        <w:rPr>
          <w:b w:val="0"/>
          <w:bCs w:val="0"/>
          <w:color w:val="auto"/>
        </w:rPr>
      </w:pPr>
      <w:r w:rsidRPr="006261A2">
        <w:rPr>
          <w:b w:val="0"/>
          <w:bCs w:val="0"/>
          <w:color w:val="auto"/>
          <w:lang w:val="en-US"/>
        </w:rPr>
        <w:t>I</w:t>
      </w:r>
      <w:r w:rsidRPr="006261A2">
        <w:rPr>
          <w:b w:val="0"/>
          <w:bCs w:val="0"/>
          <w:color w:val="auto"/>
        </w:rPr>
        <w:t xml:space="preserve"> </w:t>
      </w:r>
      <w:r w:rsidRPr="006261A2">
        <w:rPr>
          <w:b w:val="0"/>
          <w:bCs w:val="0"/>
          <w:color w:val="auto"/>
          <w:vertAlign w:val="subscript"/>
        </w:rPr>
        <w:t>¾</w:t>
      </w:r>
      <w:r w:rsidRPr="006261A2">
        <w:rPr>
          <w:b w:val="0"/>
          <w:bCs w:val="0"/>
          <w:color w:val="auto"/>
        </w:rPr>
        <w:t xml:space="preserve"> = </w:t>
      </w:r>
      <w:r w:rsidRPr="006261A2">
        <w:rPr>
          <w:b w:val="0"/>
          <w:bCs w:val="0"/>
          <w:color w:val="auto"/>
          <w:lang w:val="en-US"/>
        </w:rPr>
        <w:t>I</w:t>
      </w:r>
      <w:r w:rsidRPr="006261A2">
        <w:rPr>
          <w:b w:val="0"/>
          <w:bCs w:val="0"/>
          <w:color w:val="auto"/>
        </w:rPr>
        <w:t xml:space="preserve"> </w:t>
      </w:r>
      <w:r w:rsidRPr="006261A2">
        <w:rPr>
          <w:b w:val="0"/>
          <w:bCs w:val="0"/>
          <w:color w:val="auto"/>
          <w:vertAlign w:val="subscript"/>
        </w:rPr>
        <w:t>4/0</w:t>
      </w:r>
      <w:r w:rsidRPr="006261A2">
        <w:rPr>
          <w:b w:val="0"/>
          <w:bCs w:val="0"/>
          <w:color w:val="auto"/>
        </w:rPr>
        <w:t xml:space="preserve"> / </w:t>
      </w:r>
      <w:r w:rsidRPr="006261A2">
        <w:rPr>
          <w:b w:val="0"/>
          <w:bCs w:val="0"/>
          <w:color w:val="auto"/>
          <w:lang w:val="en-US"/>
        </w:rPr>
        <w:t>I</w:t>
      </w:r>
      <w:r w:rsidRPr="006261A2">
        <w:rPr>
          <w:b w:val="0"/>
          <w:bCs w:val="0"/>
          <w:color w:val="auto"/>
        </w:rPr>
        <w:t xml:space="preserve"> </w:t>
      </w:r>
      <w:r w:rsidRPr="006261A2">
        <w:rPr>
          <w:b w:val="0"/>
          <w:bCs w:val="0"/>
          <w:color w:val="auto"/>
          <w:vertAlign w:val="subscript"/>
        </w:rPr>
        <w:t>3/0</w:t>
      </w:r>
    </w:p>
    <w:p w:rsidR="00F85632" w:rsidRDefault="00F85632" w:rsidP="00F85632"/>
    <w:p w:rsidR="00F85632" w:rsidRDefault="00F85632"/>
    <w:sectPr w:rsidR="00F85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52223"/>
    <w:multiLevelType w:val="hybridMultilevel"/>
    <w:tmpl w:val="7FD208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1E6200"/>
    <w:multiLevelType w:val="hybridMultilevel"/>
    <w:tmpl w:val="CBC25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9360688"/>
    <w:multiLevelType w:val="hybridMultilevel"/>
    <w:tmpl w:val="36A84F36"/>
    <w:lvl w:ilvl="0" w:tplc="4F980C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E960F06"/>
    <w:multiLevelType w:val="hybridMultilevel"/>
    <w:tmpl w:val="192E6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32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3270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1AC6"/>
    <w:rsid w:val="00F0667E"/>
    <w:rsid w:val="00F17AC4"/>
    <w:rsid w:val="00F25466"/>
    <w:rsid w:val="00F43669"/>
    <w:rsid w:val="00F720F4"/>
    <w:rsid w:val="00F74493"/>
    <w:rsid w:val="00F85632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632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6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56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632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85632"/>
  </w:style>
  <w:style w:type="table" w:styleId="a6">
    <w:name w:val="Table Grid"/>
    <w:basedOn w:val="a1"/>
    <w:rsid w:val="00F85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632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6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56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632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85632"/>
  </w:style>
  <w:style w:type="table" w:styleId="a6">
    <w:name w:val="Table Grid"/>
    <w:basedOn w:val="a1"/>
    <w:rsid w:val="00F85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4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2021-03-06T11:44:00Z</dcterms:created>
  <dcterms:modified xsi:type="dcterms:W3CDTF">2021-03-11T13:08:00Z</dcterms:modified>
</cp:coreProperties>
</file>